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tif" ContentType="image/tif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drawing>
          <wp:inline distT="0" distB="0" distL="0" distR="0">
            <wp:extent cx="6120130" cy="848995"/>
            <wp:effectExtent l="0" t="0" r="0" b="0"/>
            <wp:docPr id="1" name="Imagen 1" descr="C:\Users\EQUIPO\Desktop\cabeceir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Users\EQUIPO\Desktop\cabeceira.tif"/>
                    <pic:cNvPicPr>
                      <a:picLocks noChangeAspect="1" noChangeArrowheads="1"/>
                    </pic:cNvPicPr>
                  </pic:nvPicPr>
                  <pic:blipFill>
                    <a:blip r:embed="rId2"/>
                    <a:stretch>
                      <a:fillRect/>
                    </a:stretch>
                  </pic:blipFill>
                  <pic:spPr bwMode="auto">
                    <a:xfrm>
                      <a:off x="0" y="0"/>
                      <a:ext cx="6120130" cy="848995"/>
                    </a:xfrm>
                    <a:prstGeom prst="rect">
                      <a:avLst/>
                    </a:prstGeom>
                  </pic:spPr>
                </pic:pic>
              </a:graphicData>
            </a:graphic>
          </wp:inline>
        </w:drawing>
      </w:r>
    </w:p>
    <w:p>
      <w:pPr>
        <w:pStyle w:val="Normal"/>
        <w:rPr>
          <w:rFonts w:ascii="Times New Roman" w:hAnsi="Times New Roman" w:cs="Times New Roman"/>
          <w:b/>
          <w:b/>
        </w:rPr>
      </w:pPr>
      <w:r>
        <w:rPr>
          <w:rFonts w:cs="Times New Roman" w:ascii="Times New Roman" w:hAnsi="Times New Roman"/>
          <w:b/>
        </w:rPr>
        <w:t>Oferta Prácticas Externas (PE):</w:t>
      </w:r>
    </w:p>
    <w:p>
      <w:pPr>
        <w:pStyle w:val="Normal"/>
        <w:rPr>
          <w:rFonts w:ascii="Times New Roman" w:hAnsi="Times New Roman" w:cs="Times New Roman"/>
        </w:rPr>
      </w:pPr>
      <w:r>
        <w:rPr>
          <w:rFonts w:cs="Times New Roman" w:ascii="Times New Roman" w:hAnsi="Times New Roman"/>
        </w:rPr>
        <w:t>Profesor responsable: Angel Díaz-Lagares</w:t>
      </w:r>
    </w:p>
    <w:p>
      <w:pPr>
        <w:pStyle w:val="Normal"/>
        <w:rPr>
          <w:rFonts w:ascii="Times New Roman" w:hAnsi="Times New Roman" w:cs="Times New Roman"/>
        </w:rPr>
      </w:pPr>
      <w:r>
        <w:rPr>
          <w:rFonts w:cs="Times New Roman" w:ascii="Times New Roman" w:hAnsi="Times New Roman"/>
        </w:rPr>
        <w:t>Centro/Institución/Empresa: Unidad de Epigenómica, Grupo de Oncologia Medica Traslacional (Oncomet)/IDIS/Hospital Clínico Universitario de Santiago</w:t>
      </w:r>
    </w:p>
    <w:p>
      <w:pPr>
        <w:pStyle w:val="Normal"/>
        <w:rPr>
          <w:rFonts w:ascii="Times New Roman" w:hAnsi="Times New Roman" w:cs="Times New Roman"/>
        </w:rPr>
      </w:pPr>
      <w:r>
        <w:rPr>
          <w:rFonts w:cs="Times New Roman" w:ascii="Times New Roman" w:hAnsi="Times New Roman"/>
        </w:rPr>
        <w:t>Número de plazas ofertadas:  1</w:t>
      </w:r>
    </w:p>
    <w:p>
      <w:pPr>
        <w:pStyle w:val="Normal"/>
        <w:rPr>
          <w:rFonts w:ascii="Times New Roman" w:hAnsi="Times New Roman" w:cs="Times New Roman"/>
        </w:rPr>
      </w:pPr>
      <w:r>
        <w:rPr>
          <w:rFonts w:cs="Times New Roman" w:ascii="Times New Roman" w:hAnsi="Times New Roman"/>
        </w:rPr>
        <w:t xml:space="preserve">Título:  </w:t>
      </w:r>
      <w:r>
        <w:rPr/>
        <w:t>Análisis Epigenómico y Epigenético de biomarcadores con utilidad clínica en cáncer</w:t>
      </w:r>
    </w:p>
    <w:p>
      <w:pPr>
        <w:pStyle w:val="Normal"/>
        <w:rPr/>
      </w:pPr>
      <w:r>
        <w:rPr>
          <w:rFonts w:cs="Times New Roman" w:ascii="Times New Roman" w:hAnsi="Times New Roman"/>
        </w:rPr>
        <w:t xml:space="preserve">Período: </w:t>
      </w:r>
      <w:r>
        <w:rPr>
          <w:rFonts w:cs="Times New Roman" w:ascii="Times New Roman" w:hAnsi="Times New Roman"/>
        </w:rPr>
        <w:t xml:space="preserve">A convenir con el alumno/a. </w:t>
      </w:r>
    </w:p>
    <w:p>
      <w:pPr>
        <w:pStyle w:val="Normal"/>
        <w:rPr>
          <w:rFonts w:ascii="Times New Roman" w:hAnsi="Times New Roman" w:cs="Times New Roman"/>
        </w:rPr>
      </w:pPr>
      <w:r>
        <w:rPr>
          <w:rFonts w:cs="Times New Roman" w:ascii="Times New Roman" w:hAnsi="Times New Roman"/>
        </w:rPr>
        <w:t>Actividades a desarrollar:</w:t>
      </w:r>
    </w:p>
    <w:p>
      <w:pPr>
        <w:pStyle w:val="Normal"/>
        <w:jc w:val="both"/>
        <w:rPr/>
      </w:pPr>
      <w:r>
        <w:rPr/>
        <w:t xml:space="preserve">El objetivo de estas prácticas es formar al solicitante en el campo de la Epigenómica y Epigenética del Cáncer mediante el estudio de biomarcadores epigenéticos basados en metilación de ADN tanto en muestras de tumores como en muestras no invasivas de biopsia líquida (principalmente la sangre) de pacientes con cáncer. Los solicitantes se integrarán en la Unidad de Epigenómica del Cáncer, dirigida por el Dr. Angel Diaz-Lagares, que pertenece al grupo de Oncología Médica Traslacional (Oncomet) en el IDIS y en el Hospital Clínico Universitario de Santiago. Los solicitantes participarán tanto en los proyectos de investigación que estamos desarrollando como en las reuniones del grupo y en los seminarios formativos que se realicen. Las técnicas epigenómicas, epigenéticas y de biopsia líquida son metodologías muy novedosas que permite analizar biomarcadores tanto en muestras de tumores como en los fluidos biológicos de manera no invasiva con utilidad en el diagnóstico, pronóstico, seguimiento y predicción de la respuesta a la terapia de los pacientes oncológicos, con el fin de ofrecer una medicina cada vez más personalizada. Mediante estas prácticas se adquirirán conocimientos en diferentes técnicas como sistemas de </w:t>
      </w:r>
      <w:r>
        <w:rPr>
          <w:i/>
          <w:iCs/>
        </w:rPr>
        <w:t>Microarrays</w:t>
      </w:r>
      <w:r>
        <w:rPr/>
        <w:t xml:space="preserve"> y </w:t>
      </w:r>
      <w:r>
        <w:rPr>
          <w:i/>
          <w:iCs/>
        </w:rPr>
        <w:t>Next generation sequencing</w:t>
      </w:r>
      <w:r>
        <w:rPr/>
        <w:t xml:space="preserve"> (NGS) que permiten la identificación de biomarcadores epigenéticos con utilidad clínica en diferentes enfermedades. Se obtendrán también conocimientos en el procesamiento de muestras de biopsia líquida como la sangre para obtener ADN circulante o células tumorales circulantes en muestras de pacientes con cáncer. Se realizarán técnicas epigenéticas que posibilitan el estudio de genes individuales como la pirosecuenciación o la PCR cuantitativa específica de metilación (qMSP) que se emplean habitualmente para analizar la metilación del ADN de muestras de tumores y del ADN circulante o células tumorales circulantes (CTCs) obtenidas a partir de muestras de biopsia líquida de los pacientes.  De este modo, el solicitante adquirirá conocimientos y experiencia en técnicas epigenómicas, epigenéticas y de biopsia líquida muy novedosas y de reciente aplicación en el campo de la oncología con posibilidad de ser trasladadas a la práctica clínica con el fin de realizar una medicina más personalizada en los pacientes oncológicos. </w:t>
      </w:r>
    </w:p>
    <w:p>
      <w:pPr>
        <w:pStyle w:val="Normal"/>
        <w:widowControl/>
        <w:bidi w:val="0"/>
        <w:spacing w:lineRule="auto" w:line="276" w:before="0" w:after="200"/>
        <w:jc w:val="left"/>
        <w:rPr/>
      </w:pPr>
      <w:r>
        <w:rPr>
          <w:rFonts w:cs="Times New Roman" w:ascii="Times New Roman" w:hAnsi="Times New Roman"/>
        </w:rPr>
        <w:t xml:space="preserve">El número de horas presenciales es de 225 h que incluyen el trabajo en el centro (5 semanas 40 h/semana= 200 h) y la elaboración de la memoria (25 h). </w:t>
      </w:r>
    </w:p>
    <w:sectPr>
      <w:type w:val="nextPage"/>
      <w:pgSz w:w="11906" w:h="16838"/>
      <w:pgMar w:left="1134" w:right="1134" w:header="0" w:top="1134" w:footer="0" w:bottom="1134"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Textodeglobo"/>
    <w:uiPriority w:val="99"/>
    <w:semiHidden/>
    <w:qFormat/>
    <w:rsid w:val="00b06581"/>
    <w:rPr>
      <w:rFonts w:ascii="Tahoma" w:hAnsi="Tahoma" w:cs="Tahoma"/>
      <w:sz w:val="16"/>
      <w:szCs w:val="16"/>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itular">
    <w:name w:val="Title"/>
    <w:basedOn w:val="Normal"/>
    <w:next w:val="Cuerpodetexto"/>
    <w:qFormat/>
    <w:pPr>
      <w:keepNext w:val="true"/>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BalloonText">
    <w:name w:val="Balloon Text"/>
    <w:basedOn w:val="Normal"/>
    <w:link w:val="TextodegloboCar"/>
    <w:uiPriority w:val="99"/>
    <w:semiHidden/>
    <w:unhideWhenUsed/>
    <w:qFormat/>
    <w:rsid w:val="00b06581"/>
    <w:pPr>
      <w:spacing w:lineRule="auto" w:line="240" w:before="0" w:after="0"/>
    </w:pPr>
    <w:rPr>
      <w:rFonts w:ascii="Tahoma" w:hAnsi="Tahoma" w:cs="Tahoma"/>
      <w:sz w:val="16"/>
      <w:szCs w:val="16"/>
    </w:rPr>
  </w:style>
  <w:style w:type="paragraph" w:styleId="Contenidodelmarco" w:customStyle="1">
    <w:name w:val="Contenido del marco"/>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ti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Application>LibreOffice/6.1.5.2$Windows_x86 LibreOffice_project/90f8dcf33c87b3705e78202e3df5142b201bd805</Application>
  <Pages>1</Pages>
  <Words>418</Words>
  <Characters>2439</Characters>
  <CharactersWithSpaces>2854</CharactersWithSpaces>
  <Paragraphs>10</Paragraphs>
  <Company>Usc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2018-10-23T11:09:00Z</dcterms:created>
  <dc:creator>Mónica. A.</dc:creator>
  <dc:description/>
  <dc:language>es-ES</dc:language>
  <cp:lastModifiedBy/>
  <dcterms:modified xsi:type="dcterms:W3CDTF">2019-10-25T13:01:05Z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Usc</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