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486" w:rsidRDefault="00B06581">
      <w:r>
        <w:rPr>
          <w:noProof/>
          <w:lang w:eastAsia="es-ES"/>
        </w:rPr>
        <w:drawing>
          <wp:inline distT="0" distB="0" distL="0" distR="0">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rsidR="00A02126" w:rsidRDefault="00A02126">
      <w:pPr>
        <w:rPr>
          <w:rFonts w:ascii="Times New Roman" w:hAnsi="Times New Roman" w:cs="Times New Roman"/>
        </w:rPr>
      </w:pPr>
      <w:r>
        <w:rPr>
          <w:rFonts w:ascii="Times New Roman" w:hAnsi="Times New Roman" w:cs="Times New Roman"/>
        </w:rPr>
        <w:t>Tutor/es:</w:t>
      </w:r>
      <w:r w:rsidR="003D024A">
        <w:rPr>
          <w:rFonts w:ascii="Times New Roman" w:hAnsi="Times New Roman" w:cs="Times New Roman"/>
        </w:rPr>
        <w:t xml:space="preserve"> </w:t>
      </w:r>
      <w:proofErr w:type="spellStart"/>
      <w:r w:rsidR="003D024A">
        <w:rPr>
          <w:rFonts w:ascii="Times New Roman" w:hAnsi="Times New Roman" w:cs="Times New Roman"/>
        </w:rPr>
        <w:t>Maria</w:t>
      </w:r>
      <w:proofErr w:type="spellEnd"/>
      <w:r w:rsidR="003D024A">
        <w:rPr>
          <w:rFonts w:ascii="Times New Roman" w:hAnsi="Times New Roman" w:cs="Times New Roman"/>
        </w:rPr>
        <w:t xml:space="preserve"> Saura / Josep Rotllant</w:t>
      </w:r>
    </w:p>
    <w:p w:rsidR="0033129E" w:rsidRDefault="0033129E">
      <w:pPr>
        <w:rPr>
          <w:rFonts w:ascii="Times New Roman" w:hAnsi="Times New Roman" w:cs="Times New Roman"/>
        </w:rPr>
      </w:pPr>
      <w:r>
        <w:rPr>
          <w:rFonts w:ascii="Times New Roman" w:hAnsi="Times New Roman" w:cs="Times New Roman"/>
        </w:rPr>
        <w:t>e-mail tutor/es:</w:t>
      </w:r>
      <w:r w:rsidR="003D024A">
        <w:rPr>
          <w:rFonts w:ascii="Times New Roman" w:hAnsi="Times New Roman" w:cs="Times New Roman"/>
        </w:rPr>
        <w:t xml:space="preserve"> </w:t>
      </w:r>
      <w:r w:rsidR="00681301">
        <w:rPr>
          <w:rFonts w:ascii="Times New Roman" w:hAnsi="Times New Roman" w:cs="Times New Roman"/>
        </w:rPr>
        <w:t xml:space="preserve">  </w:t>
      </w:r>
      <w:r w:rsidR="00681301" w:rsidRPr="00681301">
        <w:rPr>
          <w:rFonts w:ascii="Times New Roman" w:hAnsi="Times New Roman" w:cs="Times New Roman"/>
          <w:spacing w:val="5"/>
        </w:rPr>
        <w:t>saura.maria@inia.csic.es</w:t>
      </w:r>
      <w:r w:rsidR="00681301" w:rsidRPr="00681301">
        <w:t xml:space="preserve">  </w:t>
      </w:r>
      <w:r w:rsidR="00681301">
        <w:t xml:space="preserve">/  </w:t>
      </w:r>
      <w:r w:rsidR="003D024A">
        <w:rPr>
          <w:rFonts w:ascii="Times New Roman" w:hAnsi="Times New Roman" w:cs="Times New Roman"/>
        </w:rPr>
        <w:t>rotllant@iim.csic.es</w:t>
      </w:r>
      <w:bookmarkStart w:id="0" w:name="_GoBack"/>
      <w:bookmarkEnd w:id="0"/>
    </w:p>
    <w:p w:rsidR="000D459C" w:rsidRDefault="000D459C">
      <w:pPr>
        <w:rPr>
          <w:rFonts w:ascii="Times New Roman" w:hAnsi="Times New Roman" w:cs="Times New Roman"/>
        </w:rPr>
      </w:pPr>
      <w:r>
        <w:rPr>
          <w:rFonts w:ascii="Times New Roman" w:hAnsi="Times New Roman" w:cs="Times New Roman"/>
        </w:rPr>
        <w:t>Centro/Institución/Empresa:</w:t>
      </w:r>
      <w:r w:rsidR="003D024A">
        <w:rPr>
          <w:rFonts w:ascii="Times New Roman" w:hAnsi="Times New Roman" w:cs="Times New Roman"/>
        </w:rPr>
        <w:t xml:space="preserve"> IIM-CSIC</w:t>
      </w:r>
    </w:p>
    <w:p w:rsidR="000D459C" w:rsidRPr="003D024A" w:rsidRDefault="000D459C">
      <w:pPr>
        <w:rPr>
          <w:rFonts w:ascii="Times New Roman" w:hAnsi="Times New Roman" w:cs="Times New Roman"/>
        </w:rPr>
      </w:pPr>
      <w:r w:rsidRPr="003D024A">
        <w:rPr>
          <w:rFonts w:ascii="Times New Roman" w:hAnsi="Times New Roman" w:cs="Times New Roman"/>
        </w:rPr>
        <w:t xml:space="preserve">Título:  </w:t>
      </w:r>
      <w:r w:rsidR="003D024A" w:rsidRPr="003D024A">
        <w:rPr>
          <w:rFonts w:ascii="Times New Roman" w:hAnsi="Times New Roman" w:cs="Times New Roman"/>
          <w:lang w:val="es-ES_tradnl"/>
        </w:rPr>
        <w:t xml:space="preserve">Un enfoque </w:t>
      </w:r>
      <w:proofErr w:type="spellStart"/>
      <w:r w:rsidR="003D024A" w:rsidRPr="003D024A">
        <w:rPr>
          <w:rFonts w:ascii="Times New Roman" w:hAnsi="Times New Roman" w:cs="Times New Roman"/>
          <w:lang w:val="es-ES_tradnl"/>
        </w:rPr>
        <w:t>hologenómico</w:t>
      </w:r>
      <w:proofErr w:type="spellEnd"/>
      <w:r w:rsidR="003D024A" w:rsidRPr="003D024A">
        <w:rPr>
          <w:rFonts w:ascii="Times New Roman" w:hAnsi="Times New Roman" w:cs="Times New Roman"/>
          <w:lang w:val="es-ES_tradnl"/>
        </w:rPr>
        <w:t xml:space="preserve"> para dilucidar los trastornos de la pigmentación en especies de peces planos criados en cautividad</w:t>
      </w:r>
    </w:p>
    <w:p w:rsidR="00A02126" w:rsidRDefault="00A02126">
      <w:pPr>
        <w:rPr>
          <w:rFonts w:ascii="Times New Roman" w:hAnsi="Times New Roman" w:cs="Times New Roman"/>
        </w:rPr>
      </w:pPr>
      <w:r>
        <w:rPr>
          <w:rFonts w:ascii="Times New Roman" w:hAnsi="Times New Roman" w:cs="Times New Roman"/>
        </w:rPr>
        <w:t>Breve resumen del trabajo (&lt; 100 palabras):</w:t>
      </w:r>
    </w:p>
    <w:p w:rsidR="00A3560F" w:rsidRDefault="00A3560F">
      <w:pPr>
        <w:rPr>
          <w:rFonts w:ascii="Times New Roman" w:hAnsi="Times New Roman" w:cs="Times New Roman"/>
        </w:rPr>
      </w:pPr>
      <w:r w:rsidRPr="00A3560F">
        <w:rPr>
          <w:rFonts w:ascii="Times New Roman" w:hAnsi="Times New Roman" w:cs="Times New Roman"/>
          <w:noProof/>
          <w:lang w:eastAsia="es-ES"/>
        </w:rPr>
        <mc:AlternateContent>
          <mc:Choice Requires="wps">
            <w:drawing>
              <wp:inline distT="0" distB="0" distL="0" distR="0">
                <wp:extent cx="6140450" cy="2673350"/>
                <wp:effectExtent l="0" t="0" r="12700" b="1270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2673350"/>
                        </a:xfrm>
                        <a:prstGeom prst="rect">
                          <a:avLst/>
                        </a:prstGeom>
                        <a:solidFill>
                          <a:srgbClr val="FFFFFF"/>
                        </a:solidFill>
                        <a:ln w="9525">
                          <a:solidFill>
                            <a:srgbClr val="000000"/>
                          </a:solidFill>
                          <a:miter lim="800000"/>
                          <a:headEnd/>
                          <a:tailEnd/>
                        </a:ln>
                      </wps:spPr>
                      <wps:txbx>
                        <w:txbxContent>
                          <w:p w:rsidR="003D024A" w:rsidRPr="003D024A" w:rsidRDefault="003D024A" w:rsidP="003D024A">
                            <w:pPr>
                              <w:jc w:val="both"/>
                              <w:rPr>
                                <w:rFonts w:ascii="Times New Roman" w:hAnsi="Times New Roman" w:cs="Times New Roman"/>
                              </w:rPr>
                            </w:pPr>
                            <w:r w:rsidRPr="003D024A">
                              <w:rPr>
                                <w:rFonts w:ascii="Times New Roman" w:hAnsi="Times New Roman" w:cs="Times New Roman"/>
                              </w:rPr>
                              <w:t xml:space="preserve">Las malformaciones pigmentarias se consideran uno de los factores más importantes que afectan a la viabilidad económica de la acuicultura de peces planos (la industria pesquera pierde miles de millones cada año debido a la cría de peces con problemas de pigmentación). Actualmente no se conoce la causa de la relativa alta incidencia de malformaciones pigmentarias en el cultivo de peces planos, pero es probable que resulte de complejas interacciones entre factores genéticos y ambientales. Recientemente se ha demostrado que los fenotipos de los animales son producto de innumerables interacciones biomoleculares entre los genomas del huésped, los genomas de las comunidades microbianas residentes y sus entornos compartidos. Así, los animales cada vez son más considerados como individuos emergentes, en lugar de como entidades autónomas. Por tanto, en este proyecto de fin de máster tenemos como objetivo principal explorar si la microbiota de la piel y el intestino podría regular la pigmentación y, en consecuencia, alterar el patrón de pigmentación de la piel del organismo huésped, teniendo en cuenta su </w:t>
                            </w:r>
                            <w:proofErr w:type="spellStart"/>
                            <w:r w:rsidRPr="003D024A">
                              <w:rPr>
                                <w:rFonts w:ascii="Times New Roman" w:hAnsi="Times New Roman" w:cs="Times New Roman"/>
                              </w:rPr>
                              <w:t>background</w:t>
                            </w:r>
                            <w:proofErr w:type="spellEnd"/>
                            <w:r w:rsidRPr="003D024A">
                              <w:rPr>
                                <w:rFonts w:ascii="Times New Roman" w:hAnsi="Times New Roman" w:cs="Times New Roman"/>
                              </w:rPr>
                              <w:t xml:space="preserve"> genético.</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Cuadro de texto 2" o:spid="_x0000_s1026" type="#_x0000_t202" style="width:483.5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">
                <v:textbox>
                  <w:txbxContent>
                    <w:p w:rsidR="003D024A" w:rsidRPr="003D024A" w:rsidRDefault="003D024A" w:rsidP="003D024A">
                      <w:pPr>
                        <w:jc w:val="both"/>
                        <w:rPr>
                          <w:rFonts w:ascii="Times New Roman" w:hAnsi="Times New Roman" w:cs="Times New Roman"/>
                        </w:rPr>
                      </w:pPr>
                      <w:r w:rsidRPr="003D024A">
                        <w:rPr>
                          <w:rFonts w:ascii="Times New Roman" w:hAnsi="Times New Roman" w:cs="Times New Roman"/>
                        </w:rPr>
                        <w:t xml:space="preserve">Las malformaciones pigmentarias se consideran uno de los factores más importantes que afectan a la viabilidad económica de la acuicultura de peces planos (la industria pesquera pierde miles de millones cada año debido a la cría de peces con problemas de pigmentación). Actualmente no se conoce la causa de la relativa alta incidencia de malformaciones pigmentarias en el cultivo de peces planos, pero es probable que resulte de complejas interacciones entre factores genéticos y ambientales. Recientemente se ha demostrado que los fenotipos de los animales son producto de innumerables interacciones biomoleculares entre los genomas del huésped, los genomas de las comunidades microbianas residentes y sus entornos compartidos. Así, los animales cada vez son más considerados como individuos emergentes, en lugar de como entidades autónomas. Por tanto, en este proyecto de fin de máster tenemos como objetivo principal explorar si la microbiota de la piel y el intestino podría regular la pigmentación y, en consecuencia, alterar el patrón de pigmentación de la piel del organismo huésped, teniendo en cuenta su </w:t>
                      </w:r>
                      <w:proofErr w:type="spellStart"/>
                      <w:r w:rsidRPr="003D024A">
                        <w:rPr>
                          <w:rFonts w:ascii="Times New Roman" w:hAnsi="Times New Roman" w:cs="Times New Roman"/>
                        </w:rPr>
                        <w:t>background</w:t>
                      </w:r>
                      <w:proofErr w:type="spellEnd"/>
                      <w:r w:rsidRPr="003D024A">
                        <w:rPr>
                          <w:rFonts w:ascii="Times New Roman" w:hAnsi="Times New Roman" w:cs="Times New Roman"/>
                        </w:rPr>
                        <w:t xml:space="preserve"> genético.</w:t>
                      </w:r>
                    </w:p>
                  </w:txbxContent>
                </v:textbox>
                <w10:anchorlock/>
              </v:shape>
            </w:pict>
          </mc:Fallback>
        </mc:AlternateContent>
      </w:r>
    </w:p>
    <w:p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3147605C" wp14:editId="1A4878A0">
                <wp:simplePos x="0" y="0"/>
                <wp:positionH relativeFrom="column">
                  <wp:posOffset>-15240</wp:posOffset>
                </wp:positionH>
                <wp:positionV relativeFrom="paragraph">
                  <wp:posOffset>281305</wp:posOffset>
                </wp:positionV>
                <wp:extent cx="6140450" cy="3028950"/>
                <wp:effectExtent l="0" t="0" r="1270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3028950"/>
                        </a:xfrm>
                        <a:prstGeom prst="rect">
                          <a:avLst/>
                        </a:prstGeom>
                        <a:solidFill>
                          <a:srgbClr val="FFFFFF"/>
                        </a:solidFill>
                        <a:ln w="9525">
                          <a:solidFill>
                            <a:srgbClr val="000000"/>
                          </a:solidFill>
                          <a:miter lim="800000"/>
                          <a:headEnd/>
                          <a:tailEnd/>
                        </a:ln>
                      </wps:spPr>
                      <wps:txbx>
                        <w:txbxContent>
                          <w:p w:rsidR="003D024A" w:rsidRDefault="003D024A" w:rsidP="00903642">
                            <w:pPr>
                              <w:spacing w:after="0" w:line="240" w:lineRule="auto"/>
                              <w:rPr>
                                <w:rFonts w:ascii="Times New Roman" w:hAnsi="Times New Roman"/>
                              </w:rPr>
                            </w:pPr>
                          </w:p>
                          <w:p w:rsidR="003D024A" w:rsidRPr="003D024A" w:rsidRDefault="003D024A" w:rsidP="003D024A">
                            <w:pPr>
                              <w:autoSpaceDE w:val="0"/>
                              <w:autoSpaceDN w:val="0"/>
                              <w:adjustRightInd w:val="0"/>
                              <w:spacing w:after="0" w:line="240" w:lineRule="auto"/>
                              <w:jc w:val="both"/>
                              <w:rPr>
                                <w:rFonts w:ascii="Times New Roman" w:hAnsi="Times New Roman" w:cs="Times New Roman"/>
                                <w:lang w:val="es-ES_tradnl"/>
                              </w:rPr>
                            </w:pPr>
                            <w:r w:rsidRPr="003D024A">
                              <w:rPr>
                                <w:rFonts w:ascii="Times New Roman" w:hAnsi="Times New Roman" w:cs="Times New Roman"/>
                                <w:lang w:val="es-ES_tradnl"/>
                              </w:rPr>
                              <w:t>Para alcanzar este objetivo, proponemos un</w:t>
                            </w:r>
                            <w:r w:rsidRPr="003D024A">
                              <w:rPr>
                                <w:rFonts w:ascii="Times New Roman" w:hAnsi="Times New Roman" w:cs="Times New Roman"/>
                                <w:lang w:val="es-ES_tradnl"/>
                              </w:rPr>
                              <w:t xml:space="preserve"> </w:t>
                            </w:r>
                            <w:r w:rsidRPr="003D024A">
                              <w:rPr>
                                <w:rFonts w:ascii="Times New Roman" w:hAnsi="Times New Roman" w:cs="Times New Roman"/>
                                <w:lang w:val="es-ES_tradnl"/>
                              </w:rPr>
                              <w:t xml:space="preserve">enfoque </w:t>
                            </w:r>
                            <w:proofErr w:type="spellStart"/>
                            <w:r w:rsidRPr="003D024A">
                              <w:rPr>
                                <w:rFonts w:ascii="Times New Roman" w:hAnsi="Times New Roman" w:cs="Times New Roman"/>
                                <w:lang w:val="es-ES_tradnl"/>
                              </w:rPr>
                              <w:t>hologenómico</w:t>
                            </w:r>
                            <w:proofErr w:type="spellEnd"/>
                            <w:r w:rsidRPr="003D024A">
                              <w:rPr>
                                <w:rFonts w:ascii="Times New Roman" w:hAnsi="Times New Roman" w:cs="Times New Roman"/>
                                <w:lang w:val="es-ES_tradnl"/>
                              </w:rPr>
                              <w:t xml:space="preserve"> donde realizaremos estudios genéticos (</w:t>
                            </w:r>
                            <w:proofErr w:type="spellStart"/>
                            <w:r w:rsidRPr="003D024A">
                              <w:rPr>
                                <w:rFonts w:ascii="Times New Roman" w:hAnsi="Times New Roman" w:cs="Times New Roman"/>
                                <w:lang w:val="es-ES_tradnl"/>
                              </w:rPr>
                              <w:t>RADseq</w:t>
                            </w:r>
                            <w:proofErr w:type="spellEnd"/>
                            <w:r w:rsidRPr="003D024A">
                              <w:rPr>
                                <w:rFonts w:ascii="Times New Roman" w:hAnsi="Times New Roman" w:cs="Times New Roman"/>
                                <w:lang w:val="es-ES_tradnl"/>
                              </w:rPr>
                              <w:t xml:space="preserve">) y </w:t>
                            </w:r>
                            <w:proofErr w:type="spellStart"/>
                            <w:r w:rsidRPr="003D024A">
                              <w:rPr>
                                <w:rFonts w:ascii="Times New Roman" w:hAnsi="Times New Roman" w:cs="Times New Roman"/>
                                <w:lang w:val="es-ES_tradnl"/>
                              </w:rPr>
                              <w:t>transcriptómicos</w:t>
                            </w:r>
                            <w:proofErr w:type="spellEnd"/>
                            <w:r w:rsidRPr="003D024A">
                              <w:rPr>
                                <w:rFonts w:ascii="Times New Roman" w:hAnsi="Times New Roman" w:cs="Times New Roman"/>
                                <w:lang w:val="es-ES_tradnl"/>
                              </w:rPr>
                              <w:t xml:space="preserve"> (RNAseq) del organismo huésped, así como</w:t>
                            </w:r>
                            <w:r w:rsidRPr="003D024A">
                              <w:rPr>
                                <w:rFonts w:ascii="Times New Roman" w:hAnsi="Times New Roman" w:cs="Times New Roman"/>
                                <w:lang w:val="es-ES_tradnl"/>
                              </w:rPr>
                              <w:t xml:space="preserve"> </w:t>
                            </w:r>
                            <w:r w:rsidRPr="003D024A">
                              <w:rPr>
                                <w:rFonts w:ascii="Times New Roman" w:hAnsi="Times New Roman" w:cs="Times New Roman"/>
                                <w:lang w:val="es-ES_tradnl"/>
                              </w:rPr>
                              <w:t xml:space="preserve">estudios de </w:t>
                            </w:r>
                            <w:proofErr w:type="spellStart"/>
                            <w:r w:rsidRPr="003D024A">
                              <w:rPr>
                                <w:rFonts w:ascii="Times New Roman" w:hAnsi="Times New Roman" w:cs="Times New Roman"/>
                                <w:lang w:val="es-ES_tradnl"/>
                              </w:rPr>
                              <w:t>metagenómica</w:t>
                            </w:r>
                            <w:proofErr w:type="spellEnd"/>
                            <w:r w:rsidRPr="003D024A">
                              <w:rPr>
                                <w:rFonts w:ascii="Times New Roman" w:hAnsi="Times New Roman" w:cs="Times New Roman"/>
                                <w:lang w:val="es-ES_tradnl"/>
                              </w:rPr>
                              <w:t xml:space="preserve"> funcional de las comunidades bacterianas de la piel y el intestino de peces planos control y mal pigmentados.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7605C" id="_x0000_s1027" type="#_x0000_t202" style="position:absolute;margin-left:-1.2pt;margin-top:22.15pt;width:483.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">
                <v:textbox>
                  <w:txbxContent>
                    <w:p w:rsidR="003D024A" w:rsidRDefault="003D024A" w:rsidP="00903642">
                      <w:pPr>
                        <w:spacing w:after="0" w:line="240" w:lineRule="auto"/>
                        <w:rPr>
                          <w:rFonts w:ascii="Times New Roman" w:hAnsi="Times New Roman"/>
                        </w:rPr>
                      </w:pPr>
                    </w:p>
                    <w:p w:rsidR="003D024A" w:rsidRPr="003D024A" w:rsidRDefault="003D024A" w:rsidP="003D024A">
                      <w:pPr>
                        <w:autoSpaceDE w:val="0"/>
                        <w:autoSpaceDN w:val="0"/>
                        <w:adjustRightInd w:val="0"/>
                        <w:spacing w:after="0" w:line="240" w:lineRule="auto"/>
                        <w:jc w:val="both"/>
                        <w:rPr>
                          <w:rFonts w:ascii="Times New Roman" w:hAnsi="Times New Roman" w:cs="Times New Roman"/>
                          <w:lang w:val="es-ES_tradnl"/>
                        </w:rPr>
                      </w:pPr>
                      <w:r w:rsidRPr="003D024A">
                        <w:rPr>
                          <w:rFonts w:ascii="Times New Roman" w:hAnsi="Times New Roman" w:cs="Times New Roman"/>
                          <w:lang w:val="es-ES_tradnl"/>
                        </w:rPr>
                        <w:t>Para alcanzar este objetivo, proponemos un</w:t>
                      </w:r>
                      <w:r w:rsidRPr="003D024A">
                        <w:rPr>
                          <w:rFonts w:ascii="Times New Roman" w:hAnsi="Times New Roman" w:cs="Times New Roman"/>
                          <w:lang w:val="es-ES_tradnl"/>
                        </w:rPr>
                        <w:t xml:space="preserve"> </w:t>
                      </w:r>
                      <w:r w:rsidRPr="003D024A">
                        <w:rPr>
                          <w:rFonts w:ascii="Times New Roman" w:hAnsi="Times New Roman" w:cs="Times New Roman"/>
                          <w:lang w:val="es-ES_tradnl"/>
                        </w:rPr>
                        <w:t xml:space="preserve">enfoque </w:t>
                      </w:r>
                      <w:proofErr w:type="spellStart"/>
                      <w:r w:rsidRPr="003D024A">
                        <w:rPr>
                          <w:rFonts w:ascii="Times New Roman" w:hAnsi="Times New Roman" w:cs="Times New Roman"/>
                          <w:lang w:val="es-ES_tradnl"/>
                        </w:rPr>
                        <w:t>hologenómico</w:t>
                      </w:r>
                      <w:proofErr w:type="spellEnd"/>
                      <w:r w:rsidRPr="003D024A">
                        <w:rPr>
                          <w:rFonts w:ascii="Times New Roman" w:hAnsi="Times New Roman" w:cs="Times New Roman"/>
                          <w:lang w:val="es-ES_tradnl"/>
                        </w:rPr>
                        <w:t xml:space="preserve"> donde realizaremos estudios genéticos (</w:t>
                      </w:r>
                      <w:proofErr w:type="spellStart"/>
                      <w:r w:rsidRPr="003D024A">
                        <w:rPr>
                          <w:rFonts w:ascii="Times New Roman" w:hAnsi="Times New Roman" w:cs="Times New Roman"/>
                          <w:lang w:val="es-ES_tradnl"/>
                        </w:rPr>
                        <w:t>RADseq</w:t>
                      </w:r>
                      <w:proofErr w:type="spellEnd"/>
                      <w:r w:rsidRPr="003D024A">
                        <w:rPr>
                          <w:rFonts w:ascii="Times New Roman" w:hAnsi="Times New Roman" w:cs="Times New Roman"/>
                          <w:lang w:val="es-ES_tradnl"/>
                        </w:rPr>
                        <w:t xml:space="preserve">) y </w:t>
                      </w:r>
                      <w:proofErr w:type="spellStart"/>
                      <w:r w:rsidRPr="003D024A">
                        <w:rPr>
                          <w:rFonts w:ascii="Times New Roman" w:hAnsi="Times New Roman" w:cs="Times New Roman"/>
                          <w:lang w:val="es-ES_tradnl"/>
                        </w:rPr>
                        <w:t>transcriptómicos</w:t>
                      </w:r>
                      <w:proofErr w:type="spellEnd"/>
                      <w:r w:rsidRPr="003D024A">
                        <w:rPr>
                          <w:rFonts w:ascii="Times New Roman" w:hAnsi="Times New Roman" w:cs="Times New Roman"/>
                          <w:lang w:val="es-ES_tradnl"/>
                        </w:rPr>
                        <w:t xml:space="preserve"> (RNAseq) del organismo huésped, así como</w:t>
                      </w:r>
                      <w:r w:rsidRPr="003D024A">
                        <w:rPr>
                          <w:rFonts w:ascii="Times New Roman" w:hAnsi="Times New Roman" w:cs="Times New Roman"/>
                          <w:lang w:val="es-ES_tradnl"/>
                        </w:rPr>
                        <w:t xml:space="preserve"> </w:t>
                      </w:r>
                      <w:r w:rsidRPr="003D024A">
                        <w:rPr>
                          <w:rFonts w:ascii="Times New Roman" w:hAnsi="Times New Roman" w:cs="Times New Roman"/>
                          <w:lang w:val="es-ES_tradnl"/>
                        </w:rPr>
                        <w:t xml:space="preserve">estudios de </w:t>
                      </w:r>
                      <w:proofErr w:type="spellStart"/>
                      <w:r w:rsidRPr="003D024A">
                        <w:rPr>
                          <w:rFonts w:ascii="Times New Roman" w:hAnsi="Times New Roman" w:cs="Times New Roman"/>
                          <w:lang w:val="es-ES_tradnl"/>
                        </w:rPr>
                        <w:t>metagenómica</w:t>
                      </w:r>
                      <w:proofErr w:type="spellEnd"/>
                      <w:r w:rsidRPr="003D024A">
                        <w:rPr>
                          <w:rFonts w:ascii="Times New Roman" w:hAnsi="Times New Roman" w:cs="Times New Roman"/>
                          <w:lang w:val="es-ES_tradnl"/>
                        </w:rPr>
                        <w:t xml:space="preserve"> funcional de las comunidades bacterianas de la piel y el intestino de peces planos control y mal pigmentados.</w:t>
                      </w:r>
                    </w:p>
                  </w:txbxContent>
                </v:textbox>
              </v:shape>
            </w:pict>
          </mc:Fallback>
        </mc:AlternateContent>
      </w:r>
      <w:r>
        <w:rPr>
          <w:rFonts w:ascii="Times New Roman" w:hAnsi="Times New Roman" w:cs="Times New Roman"/>
        </w:rPr>
        <w:t>Actividades a desarrollar:</w:t>
      </w:r>
    </w:p>
    <w:p w:rsidR="00903642" w:rsidRDefault="00903642" w:rsidP="00903642">
      <w:pPr>
        <w:rPr>
          <w:rFonts w:ascii="Times New Roman" w:hAnsi="Times New Roman" w:cs="Times New Roman"/>
        </w:rPr>
      </w:pPr>
    </w:p>
    <w:p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proofState w:spelling="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81"/>
    <w:rsid w:val="000D459C"/>
    <w:rsid w:val="0033129E"/>
    <w:rsid w:val="003D024A"/>
    <w:rsid w:val="00681301"/>
    <w:rsid w:val="00692E7F"/>
    <w:rsid w:val="00843FF1"/>
    <w:rsid w:val="00903642"/>
    <w:rsid w:val="00A02126"/>
    <w:rsid w:val="00A3560F"/>
    <w:rsid w:val="00B06581"/>
    <w:rsid w:val="00C33F38"/>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7EF7F"/>
  <w15:docId w15:val="{8B842C16-8865-6E40-8862-875C7F12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 w:type="paragraph" w:styleId="Sinespaciado">
    <w:name w:val="No Spacing"/>
    <w:uiPriority w:val="1"/>
    <w:qFormat/>
    <w:rsid w:val="003D024A"/>
    <w:pPr>
      <w:spacing w:after="0" w:line="240" w:lineRule="auto"/>
    </w:pPr>
  </w:style>
  <w:style w:type="character" w:styleId="Hipervnculo">
    <w:name w:val="Hyperlink"/>
    <w:uiPriority w:val="99"/>
    <w:rsid w:val="006813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331</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rotllant@iim.csic.es</cp:lastModifiedBy>
  <cp:revision>2</cp:revision>
  <dcterms:created xsi:type="dcterms:W3CDTF">2022-09-28T14:21:00Z</dcterms:created>
  <dcterms:modified xsi:type="dcterms:W3CDTF">2022-09-28T14:21:00Z</dcterms:modified>
</cp:coreProperties>
</file>