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:rsidR="00A02126" w:rsidRPr="00D20D7F" w:rsidRDefault="00A02126">
      <w:pPr>
        <w:rPr>
          <w:rFonts w:ascii="Times New Roman" w:hAnsi="Times New Roman" w:cs="Times New Roman"/>
          <w:lang w:val="pt-BR"/>
        </w:rPr>
      </w:pPr>
      <w:r w:rsidRPr="00D20D7F">
        <w:rPr>
          <w:rFonts w:ascii="Times New Roman" w:hAnsi="Times New Roman" w:cs="Times New Roman"/>
          <w:lang w:val="pt-BR"/>
        </w:rPr>
        <w:t>Tutor/es:</w:t>
      </w:r>
      <w:r w:rsidR="00D20D7F" w:rsidRPr="00D20D7F">
        <w:rPr>
          <w:rFonts w:ascii="Times New Roman" w:hAnsi="Times New Roman" w:cs="Times New Roman"/>
          <w:lang w:val="pt-BR"/>
        </w:rPr>
        <w:t xml:space="preserve"> Clara Ruiz Ponte</w:t>
      </w:r>
      <w:r w:rsidR="00D20D7F">
        <w:rPr>
          <w:rFonts w:ascii="Times New Roman" w:hAnsi="Times New Roman" w:cs="Times New Roman"/>
          <w:lang w:val="pt-BR"/>
        </w:rPr>
        <w:t xml:space="preserve">, Angel </w:t>
      </w:r>
      <w:proofErr w:type="spellStart"/>
      <w:r w:rsidR="00D20D7F">
        <w:rPr>
          <w:rFonts w:ascii="Times New Roman" w:hAnsi="Times New Roman" w:cs="Times New Roman"/>
          <w:lang w:val="pt-BR"/>
        </w:rPr>
        <w:t>Carracedo</w:t>
      </w:r>
      <w:proofErr w:type="spellEnd"/>
    </w:p>
    <w:p w:rsidR="0033129E" w:rsidRPr="00D20D7F" w:rsidRDefault="0033129E">
      <w:pPr>
        <w:rPr>
          <w:rFonts w:ascii="Times New Roman" w:hAnsi="Times New Roman" w:cs="Times New Roman"/>
          <w:lang w:val="pt-BR"/>
        </w:rPr>
      </w:pPr>
      <w:r w:rsidRPr="00D20D7F">
        <w:rPr>
          <w:rFonts w:ascii="Times New Roman" w:hAnsi="Times New Roman" w:cs="Times New Roman"/>
          <w:lang w:val="pt-BR"/>
        </w:rPr>
        <w:t>e-mail tutor/es:</w:t>
      </w:r>
      <w:r w:rsidR="00D20D7F" w:rsidRPr="00D20D7F">
        <w:rPr>
          <w:rFonts w:ascii="Times New Roman" w:hAnsi="Times New Roman" w:cs="Times New Roman"/>
          <w:lang w:val="pt-BR"/>
        </w:rPr>
        <w:t xml:space="preserve"> </w:t>
      </w:r>
      <w:hyperlink r:id="rId5" w:history="1">
        <w:r w:rsidR="00D20D7F" w:rsidRPr="003F4FAB">
          <w:rPr>
            <w:rStyle w:val="Hipervnculo"/>
            <w:rFonts w:ascii="Times New Roman" w:hAnsi="Times New Roman" w:cs="Times New Roman"/>
            <w:lang w:val="pt-BR"/>
          </w:rPr>
          <w:t>clara.ruiz.ponte@usc.es</w:t>
        </w:r>
      </w:hyperlink>
      <w:r w:rsidR="00D20D7F">
        <w:rPr>
          <w:rFonts w:ascii="Times New Roman" w:hAnsi="Times New Roman" w:cs="Times New Roman"/>
          <w:lang w:val="pt-BR"/>
        </w:rPr>
        <w:t>; angel.carracedo@usc.es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D20D7F">
        <w:rPr>
          <w:rFonts w:ascii="Times New Roman" w:hAnsi="Times New Roman" w:cs="Times New Roman"/>
        </w:rPr>
        <w:t xml:space="preserve"> Fundación Pública Galega de Medicina </w:t>
      </w:r>
      <w:proofErr w:type="spellStart"/>
      <w:r w:rsidR="00D20D7F">
        <w:rPr>
          <w:rFonts w:ascii="Times New Roman" w:hAnsi="Times New Roman" w:cs="Times New Roman"/>
        </w:rPr>
        <w:t>X</w:t>
      </w:r>
      <w:r w:rsidR="001D6533">
        <w:rPr>
          <w:rFonts w:ascii="Times New Roman" w:hAnsi="Times New Roman" w:cs="Times New Roman"/>
        </w:rPr>
        <w:t>e</w:t>
      </w:r>
      <w:r w:rsidR="00D20D7F">
        <w:rPr>
          <w:rFonts w:ascii="Times New Roman" w:hAnsi="Times New Roman" w:cs="Times New Roman"/>
        </w:rPr>
        <w:t>nómica</w:t>
      </w:r>
      <w:proofErr w:type="spellEnd"/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D20D7F">
        <w:rPr>
          <w:rFonts w:ascii="Times New Roman" w:hAnsi="Times New Roman" w:cs="Times New Roman"/>
        </w:rPr>
        <w:t>Descifrando el Síndrome de Lynch-</w:t>
      </w:r>
      <w:proofErr w:type="spellStart"/>
      <w:r w:rsidR="00D20D7F">
        <w:rPr>
          <w:rFonts w:ascii="Times New Roman" w:hAnsi="Times New Roman" w:cs="Times New Roman"/>
        </w:rPr>
        <w:t>like</w:t>
      </w:r>
      <w:proofErr w:type="spellEnd"/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40450" cy="2673350"/>
                <wp:effectExtent l="0" t="0" r="12700" b="1270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E8E" w:rsidRPr="000F79E7" w:rsidRDefault="00812E8E" w:rsidP="00812E8E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 Síndrome de Lynch-</w:t>
                            </w:r>
                            <w:proofErr w:type="spellStart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like</w:t>
                            </w:r>
                            <w:proofErr w:type="spellEnd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(SLL) incluye pacientes que presenta tumores con deficiencia del sistema </w:t>
                            </w:r>
                            <w:proofErr w:type="gramStart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MMR</w:t>
                            </w:r>
                            <w:proofErr w:type="gramEnd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pero en los que no se identifican variantes constitucionale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patogénicas en los genes MMR que permitan realizar un diagnóstico molecular de 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í</w:t>
                            </w:r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ndrome de Lynch. El SLL es un grupo heterogén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 ya que la causa de la deficiencia del sistema MMR en los tumores puede ser constitucional o somática, lo que significa que los riesgos asociados podrían ser diferentes entre los distintos pacientes SSL.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 objetivo de este trabajo es</w:t>
                            </w:r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caracterización molecular exhaustiva del Síndrome de Lynch-</w:t>
                            </w:r>
                            <w:proofErr w:type="spellStart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like</w:t>
                            </w:r>
                            <w:proofErr w:type="spellEnd"/>
                            <w:r w:rsidRPr="000F79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717FBD" w:rsidRDefault="00717FBD" w:rsidP="00A356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3560F" w:rsidRP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">
                <v:textbox>
                  <w:txbxContent>
                    <w:p w:rsidR="00812E8E" w:rsidRPr="000F79E7" w:rsidRDefault="00812E8E" w:rsidP="00812E8E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 Síndrome de Lynch-</w:t>
                      </w:r>
                      <w:proofErr w:type="spellStart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like</w:t>
                      </w:r>
                      <w:proofErr w:type="spellEnd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(SLL) incluye pacientes que presenta tumores con deficiencia del sistema </w:t>
                      </w:r>
                      <w:proofErr w:type="gramStart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MMR</w:t>
                      </w:r>
                      <w:proofErr w:type="gramEnd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pero en los que no se identifican variantes constitucionale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patogénicas en los genes MMR que permitan realizar un diagnóstico molecular de 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í</w:t>
                      </w:r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ndrome de Lynch. El SLL es un grupo heterogén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 ya que la causa de la deficiencia del sistema MMR en los tumores puede ser constitucional o somática, lo que significa que los riesgos asociados podrían ser diferentes entre los distintos pacientes SSL.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 objetivo de este trabajo es</w:t>
                      </w:r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caracterización molecular exhaustiva del Síndrome de Lynch-</w:t>
                      </w:r>
                      <w:proofErr w:type="spellStart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like</w:t>
                      </w:r>
                      <w:proofErr w:type="spellEnd"/>
                      <w:r w:rsidRPr="000F79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717FBD" w:rsidRDefault="00717FBD" w:rsidP="00A356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3560F" w:rsidRP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103" w:rsidRDefault="00FD6103" w:rsidP="00FD610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-Caracterización molecular de los genes MMR (análisis genético germinal y somático, análisis de metilación)</w:t>
                            </w:r>
                          </w:p>
                          <w:p w:rsidR="00FD6103" w:rsidRPr="000F79E7" w:rsidRDefault="00FD6103" w:rsidP="00FD610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Análisis de secuenciación de exoma completo</w:t>
                            </w:r>
                          </w:p>
                          <w:p w:rsidR="00903642" w:rsidRPr="00A3560F" w:rsidRDefault="00903642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760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">
                <v:textbox>
                  <w:txbxContent>
                    <w:p w:rsidR="00FD6103" w:rsidRDefault="00FD6103" w:rsidP="00FD610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-Caracterización molecular de los genes MMR (análisis genético germinal y somático, análisis de metilación)</w:t>
                      </w:r>
                    </w:p>
                    <w:p w:rsidR="00FD6103" w:rsidRPr="000F79E7" w:rsidRDefault="00FD6103" w:rsidP="00FD610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Análisis de secuenciación de exoma completo</w:t>
                      </w:r>
                    </w:p>
                    <w:p w:rsidR="00903642" w:rsidRPr="00A3560F" w:rsidRDefault="00903642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191402"/>
    <w:rsid w:val="001D6533"/>
    <w:rsid w:val="00232A06"/>
    <w:rsid w:val="0033129E"/>
    <w:rsid w:val="00511962"/>
    <w:rsid w:val="00692E7F"/>
    <w:rsid w:val="00717FBD"/>
    <w:rsid w:val="00812E8E"/>
    <w:rsid w:val="00843FF1"/>
    <w:rsid w:val="00903642"/>
    <w:rsid w:val="00A02126"/>
    <w:rsid w:val="00A3560F"/>
    <w:rsid w:val="00B06581"/>
    <w:rsid w:val="00C33F38"/>
    <w:rsid w:val="00D20D7F"/>
    <w:rsid w:val="00F36486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9CE"/>
  <w15:docId w15:val="{353262E0-2E3C-0644-A98F-0188072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D7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0D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a.ruiz.ponte@usc.es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Clara Ruiz</cp:lastModifiedBy>
  <cp:revision>7</cp:revision>
  <dcterms:created xsi:type="dcterms:W3CDTF">2023-10-05T08:58:00Z</dcterms:created>
  <dcterms:modified xsi:type="dcterms:W3CDTF">2023-10-06T09:05:00Z</dcterms:modified>
</cp:coreProperties>
</file>